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B78FF" w14:textId="77777777" w:rsidR="001B5512" w:rsidRPr="005709C3" w:rsidRDefault="005709C3">
      <w:pPr>
        <w:rPr>
          <w:rFonts w:ascii="Arial" w:hAnsi="Arial" w:cs="Arial"/>
          <w:sz w:val="32"/>
          <w:szCs w:val="32"/>
        </w:rPr>
      </w:pPr>
      <w:r w:rsidRPr="005709C3">
        <w:rPr>
          <w:rFonts w:ascii="Arial" w:hAnsi="Arial" w:cs="Arial"/>
          <w:sz w:val="32"/>
          <w:szCs w:val="32"/>
        </w:rPr>
        <w:t>(alle grünen Satzteile durch den konkreten Fall ersetzen).</w:t>
      </w:r>
    </w:p>
    <w:p w14:paraId="653DA04E" w14:textId="77777777" w:rsidR="00EF7C05" w:rsidRDefault="00EF7C05">
      <w:pPr>
        <w:rPr>
          <w:rFonts w:ascii="Arial" w:hAnsi="Arial" w:cs="Arial"/>
          <w:sz w:val="28"/>
          <w:szCs w:val="28"/>
        </w:rPr>
      </w:pPr>
    </w:p>
    <w:p w14:paraId="083BD018" w14:textId="77777777" w:rsidR="00EF7C05" w:rsidRDefault="00EF7C05">
      <w:pPr>
        <w:rPr>
          <w:rFonts w:ascii="Arial" w:hAnsi="Arial" w:cs="Arial"/>
          <w:sz w:val="28"/>
          <w:szCs w:val="28"/>
        </w:rPr>
      </w:pPr>
    </w:p>
    <w:p w14:paraId="79AAD094" w14:textId="77777777" w:rsidR="00835B02" w:rsidRDefault="00835B02">
      <w:pPr>
        <w:rPr>
          <w:rFonts w:ascii="Arial" w:hAnsi="Arial" w:cs="Arial"/>
          <w:sz w:val="28"/>
          <w:szCs w:val="28"/>
        </w:rPr>
      </w:pPr>
    </w:p>
    <w:p w14:paraId="2910AFE2" w14:textId="47A45697" w:rsidR="00107244" w:rsidRPr="001360FF" w:rsidRDefault="00835B02" w:rsidP="00107244">
      <w:pPr>
        <w:rPr>
          <w:rFonts w:ascii="Arial" w:hAnsi="Arial" w:cs="Arial"/>
          <w:color w:val="00B050"/>
          <w:sz w:val="20"/>
          <w:szCs w:val="20"/>
        </w:rPr>
      </w:pPr>
      <w:r w:rsidRPr="001360FF">
        <w:rPr>
          <w:rFonts w:ascii="Arial" w:hAnsi="Arial" w:cs="Arial"/>
          <w:color w:val="00B050"/>
          <w:sz w:val="20"/>
          <w:szCs w:val="20"/>
        </w:rPr>
        <w:t xml:space="preserve">Lisa Fleißig, </w:t>
      </w:r>
      <w:r w:rsidR="006A2DF6" w:rsidRPr="001360FF">
        <w:rPr>
          <w:rFonts w:ascii="Arial" w:hAnsi="Arial" w:cs="Arial"/>
          <w:color w:val="00B050"/>
          <w:sz w:val="20"/>
          <w:szCs w:val="20"/>
        </w:rPr>
        <w:t xml:space="preserve">Im Weitblick 99, </w:t>
      </w:r>
      <w:r w:rsidR="00EE4162">
        <w:rPr>
          <w:rFonts w:ascii="Arial" w:hAnsi="Arial" w:cs="Arial"/>
          <w:color w:val="00B050"/>
          <w:sz w:val="20"/>
          <w:szCs w:val="20"/>
        </w:rPr>
        <w:t>15806 Zossen</w:t>
      </w:r>
    </w:p>
    <w:p w14:paraId="00383D28" w14:textId="77777777" w:rsidR="00D6229B" w:rsidRDefault="00D6229B">
      <w:pPr>
        <w:rPr>
          <w:rFonts w:ascii="Arial" w:hAnsi="Arial" w:cs="Arial"/>
          <w:sz w:val="20"/>
          <w:szCs w:val="20"/>
        </w:rPr>
      </w:pPr>
    </w:p>
    <w:p w14:paraId="088EE906" w14:textId="77777777" w:rsidR="00F13DD9" w:rsidRDefault="00F13DD9">
      <w:pPr>
        <w:rPr>
          <w:rFonts w:ascii="Arial" w:hAnsi="Arial" w:cs="Arial"/>
          <w:sz w:val="20"/>
          <w:szCs w:val="20"/>
        </w:rPr>
      </w:pPr>
    </w:p>
    <w:p w14:paraId="6D8E3537" w14:textId="77777777" w:rsidR="00DA1638" w:rsidRDefault="00DA1638">
      <w:pPr>
        <w:rPr>
          <w:rFonts w:ascii="Arial" w:hAnsi="Arial" w:cs="Arial"/>
          <w:sz w:val="20"/>
          <w:szCs w:val="20"/>
        </w:rPr>
      </w:pPr>
    </w:p>
    <w:p w14:paraId="039C6361" w14:textId="5CFC9E3C" w:rsidR="00EC4F0C" w:rsidRPr="001360FF" w:rsidRDefault="00107244">
      <w:pPr>
        <w:rPr>
          <w:rFonts w:ascii="Arial" w:hAnsi="Arial" w:cs="Arial"/>
          <w:b/>
          <w:color w:val="00B050"/>
          <w:sz w:val="20"/>
          <w:szCs w:val="20"/>
        </w:rPr>
      </w:pPr>
      <w:r w:rsidRPr="001360FF">
        <w:rPr>
          <w:rFonts w:ascii="Arial" w:hAnsi="Arial" w:cs="Arial"/>
          <w:b/>
          <w:color w:val="00B050"/>
          <w:sz w:val="20"/>
          <w:szCs w:val="20"/>
        </w:rPr>
        <w:t>Finanz</w:t>
      </w:r>
      <w:r w:rsidR="00FE314F" w:rsidRPr="001360FF">
        <w:rPr>
          <w:rFonts w:ascii="Arial" w:hAnsi="Arial" w:cs="Arial"/>
          <w:b/>
          <w:color w:val="00B050"/>
          <w:sz w:val="20"/>
          <w:szCs w:val="20"/>
        </w:rPr>
        <w:t>amt</w:t>
      </w:r>
      <w:r w:rsidR="00F13DD9" w:rsidRPr="001360FF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EE4162">
        <w:rPr>
          <w:rFonts w:ascii="Arial" w:hAnsi="Arial" w:cs="Arial"/>
          <w:b/>
          <w:color w:val="00B050"/>
          <w:sz w:val="20"/>
          <w:szCs w:val="20"/>
        </w:rPr>
        <w:t>Luckenwalde</w:t>
      </w:r>
    </w:p>
    <w:p w14:paraId="219D33DE" w14:textId="574C2A62" w:rsidR="00F13DD9" w:rsidRPr="001360FF" w:rsidRDefault="00EE4162">
      <w:pPr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Dr. Georg-Schaeffler Straße 2</w:t>
      </w:r>
    </w:p>
    <w:p w14:paraId="26DB84E5" w14:textId="77777777" w:rsidR="00107244" w:rsidRPr="001360FF" w:rsidRDefault="00107244">
      <w:pPr>
        <w:rPr>
          <w:rFonts w:ascii="Arial" w:hAnsi="Arial" w:cs="Arial"/>
          <w:color w:val="00B050"/>
          <w:sz w:val="20"/>
          <w:szCs w:val="20"/>
        </w:rPr>
      </w:pPr>
    </w:p>
    <w:p w14:paraId="4E861657" w14:textId="46411CA5" w:rsidR="00F13DD9" w:rsidRPr="001360FF" w:rsidRDefault="00EE4162">
      <w:pPr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14943 Luckenwalde</w:t>
      </w:r>
    </w:p>
    <w:p w14:paraId="0913D695" w14:textId="77777777" w:rsidR="00F13DD9" w:rsidRDefault="00F13DD9">
      <w:pPr>
        <w:rPr>
          <w:rFonts w:ascii="Arial" w:hAnsi="Arial" w:cs="Arial"/>
          <w:sz w:val="20"/>
          <w:szCs w:val="20"/>
        </w:rPr>
      </w:pPr>
    </w:p>
    <w:p w14:paraId="591BD6D6" w14:textId="77777777" w:rsidR="00F13DD9" w:rsidRDefault="00F13DD9">
      <w:pPr>
        <w:rPr>
          <w:rFonts w:ascii="Arial" w:hAnsi="Arial" w:cs="Arial"/>
          <w:sz w:val="20"/>
          <w:szCs w:val="20"/>
        </w:rPr>
      </w:pPr>
    </w:p>
    <w:p w14:paraId="1C0DBF3D" w14:textId="77777777" w:rsidR="00D6229B" w:rsidRDefault="00D6229B">
      <w:pPr>
        <w:rPr>
          <w:rFonts w:ascii="Arial" w:hAnsi="Arial" w:cs="Arial"/>
          <w:sz w:val="20"/>
          <w:szCs w:val="20"/>
        </w:rPr>
      </w:pPr>
    </w:p>
    <w:p w14:paraId="566E456D" w14:textId="0560BADF" w:rsidR="00F13DD9" w:rsidRDefault="00D62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EE4162">
        <w:rPr>
          <w:rFonts w:ascii="Arial" w:hAnsi="Arial" w:cs="Arial"/>
          <w:color w:val="00B050"/>
          <w:sz w:val="20"/>
          <w:szCs w:val="20"/>
        </w:rPr>
        <w:t>Zossen</w:t>
      </w:r>
      <w:r w:rsidR="00BC67D3" w:rsidRPr="005709C3">
        <w:rPr>
          <w:rFonts w:ascii="Arial" w:hAnsi="Arial" w:cs="Arial"/>
          <w:color w:val="00B050"/>
          <w:sz w:val="20"/>
          <w:szCs w:val="20"/>
        </w:rPr>
        <w:t xml:space="preserve">, </w:t>
      </w:r>
      <w:r w:rsidR="00802F7B" w:rsidRPr="005709C3">
        <w:rPr>
          <w:rFonts w:ascii="Arial" w:hAnsi="Arial" w:cs="Arial"/>
          <w:color w:val="00B050"/>
          <w:sz w:val="20"/>
          <w:szCs w:val="20"/>
        </w:rPr>
        <w:t xml:space="preserve">den </w:t>
      </w:r>
      <w:r w:rsidR="00C82A44" w:rsidRPr="005709C3">
        <w:rPr>
          <w:rFonts w:ascii="Arial" w:hAnsi="Arial" w:cs="Arial"/>
          <w:color w:val="00B050"/>
          <w:sz w:val="20"/>
          <w:szCs w:val="20"/>
        </w:rPr>
        <w:t>2</w:t>
      </w:r>
      <w:r w:rsidR="005709C3">
        <w:rPr>
          <w:rFonts w:ascii="Arial" w:hAnsi="Arial" w:cs="Arial"/>
          <w:color w:val="00B050"/>
          <w:sz w:val="20"/>
          <w:szCs w:val="20"/>
        </w:rPr>
        <w:t>9</w:t>
      </w:r>
      <w:r w:rsidR="001E7654" w:rsidRPr="005709C3">
        <w:rPr>
          <w:rFonts w:ascii="Arial" w:hAnsi="Arial" w:cs="Arial"/>
          <w:color w:val="00B050"/>
          <w:sz w:val="20"/>
          <w:szCs w:val="20"/>
        </w:rPr>
        <w:t>.0</w:t>
      </w:r>
      <w:r w:rsidR="005709C3">
        <w:rPr>
          <w:rFonts w:ascii="Arial" w:hAnsi="Arial" w:cs="Arial"/>
          <w:color w:val="00B050"/>
          <w:sz w:val="20"/>
          <w:szCs w:val="20"/>
        </w:rPr>
        <w:t>2</w:t>
      </w:r>
      <w:r w:rsidR="001E7654" w:rsidRPr="005709C3">
        <w:rPr>
          <w:rFonts w:ascii="Arial" w:hAnsi="Arial" w:cs="Arial"/>
          <w:color w:val="00B050"/>
          <w:sz w:val="20"/>
          <w:szCs w:val="20"/>
        </w:rPr>
        <w:t>.202</w:t>
      </w:r>
      <w:r w:rsidR="00802F7B" w:rsidRPr="005709C3">
        <w:rPr>
          <w:rFonts w:ascii="Arial" w:hAnsi="Arial" w:cs="Arial"/>
          <w:color w:val="00B050"/>
          <w:sz w:val="20"/>
          <w:szCs w:val="20"/>
        </w:rPr>
        <w:t>1</w:t>
      </w:r>
    </w:p>
    <w:p w14:paraId="5F6A3E43" w14:textId="77777777" w:rsidR="00107244" w:rsidRDefault="00107244">
      <w:pPr>
        <w:rPr>
          <w:rFonts w:ascii="Arial" w:hAnsi="Arial" w:cs="Arial"/>
          <w:sz w:val="20"/>
          <w:szCs w:val="20"/>
        </w:rPr>
      </w:pPr>
    </w:p>
    <w:p w14:paraId="09E37E1D" w14:textId="77777777" w:rsidR="00D6229B" w:rsidRDefault="00F10FDB">
      <w:pPr>
        <w:rPr>
          <w:rFonts w:ascii="Arial" w:hAnsi="Arial" w:cs="Arial"/>
          <w:sz w:val="20"/>
          <w:szCs w:val="20"/>
        </w:rPr>
      </w:pPr>
      <w:r w:rsidRPr="00FC3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AA44312" wp14:editId="2AADBBBE">
                <wp:simplePos x="0" y="0"/>
                <wp:positionH relativeFrom="page">
                  <wp:posOffset>398780</wp:posOffset>
                </wp:positionH>
                <wp:positionV relativeFrom="page">
                  <wp:posOffset>3684270</wp:posOffset>
                </wp:positionV>
                <wp:extent cx="179705" cy="0"/>
                <wp:effectExtent l="0" t="0" r="1079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2593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pt,290.1pt" to="45.55pt,2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2REQ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" o:allowincell="f" strokeweight=".25pt">
                <w10:wrap anchorx="page" anchory="page"/>
                <w10:anchorlock/>
              </v:line>
            </w:pict>
          </mc:Fallback>
        </mc:AlternateContent>
      </w:r>
    </w:p>
    <w:p w14:paraId="7769D5FB" w14:textId="77777777" w:rsidR="00BC67D3" w:rsidRPr="00C82A44" w:rsidRDefault="00FE314F" w:rsidP="00D23F0E">
      <w:pPr>
        <w:rPr>
          <w:rFonts w:ascii="Arial" w:hAnsi="Arial" w:cs="Arial"/>
          <w:b/>
        </w:rPr>
      </w:pPr>
      <w:r w:rsidRPr="00C82A44">
        <w:rPr>
          <w:rFonts w:ascii="Arial" w:hAnsi="Arial" w:cs="Arial"/>
          <w:b/>
        </w:rPr>
        <w:t xml:space="preserve">Steuernummer: </w:t>
      </w:r>
      <w:r w:rsidR="001E7654" w:rsidRPr="001360FF">
        <w:rPr>
          <w:rFonts w:ascii="Arial" w:hAnsi="Arial" w:cs="Arial"/>
          <w:b/>
          <w:color w:val="00B050"/>
        </w:rPr>
        <w:t>xx/xxx/</w:t>
      </w:r>
      <w:proofErr w:type="spellStart"/>
      <w:r w:rsidR="001E7654" w:rsidRPr="001360FF">
        <w:rPr>
          <w:rFonts w:ascii="Arial" w:hAnsi="Arial" w:cs="Arial"/>
          <w:b/>
          <w:color w:val="00B050"/>
        </w:rPr>
        <w:t>xxxxx</w:t>
      </w:r>
      <w:proofErr w:type="spellEnd"/>
    </w:p>
    <w:p w14:paraId="3242E7E9" w14:textId="77777777" w:rsidR="00407888" w:rsidRPr="00C82A44" w:rsidRDefault="00802F7B" w:rsidP="00D23F0E">
      <w:pPr>
        <w:rPr>
          <w:rFonts w:ascii="Arial" w:hAnsi="Arial" w:cs="Arial"/>
          <w:b/>
        </w:rPr>
      </w:pPr>
      <w:r w:rsidRPr="00C82A44">
        <w:rPr>
          <w:rFonts w:ascii="Arial" w:hAnsi="Arial" w:cs="Arial"/>
          <w:b/>
        </w:rPr>
        <w:t>Einkommensteuerbescheid 20</w:t>
      </w:r>
      <w:r w:rsidRPr="005709C3">
        <w:rPr>
          <w:rFonts w:ascii="Arial" w:hAnsi="Arial" w:cs="Arial"/>
          <w:b/>
          <w:color w:val="00B050"/>
        </w:rPr>
        <w:t>19</w:t>
      </w:r>
      <w:r w:rsidR="00046BA6" w:rsidRPr="00C82A44">
        <w:rPr>
          <w:rFonts w:ascii="Arial" w:hAnsi="Arial" w:cs="Arial"/>
          <w:b/>
        </w:rPr>
        <w:t xml:space="preserve"> vom </w:t>
      </w:r>
      <w:r w:rsidR="005709C3">
        <w:rPr>
          <w:rFonts w:ascii="Arial" w:hAnsi="Arial" w:cs="Arial"/>
          <w:b/>
          <w:color w:val="00B050"/>
        </w:rPr>
        <w:t>12</w:t>
      </w:r>
      <w:r w:rsidR="00046BA6" w:rsidRPr="005709C3">
        <w:rPr>
          <w:rFonts w:ascii="Arial" w:hAnsi="Arial" w:cs="Arial"/>
          <w:b/>
          <w:color w:val="00B050"/>
        </w:rPr>
        <w:t>.</w:t>
      </w:r>
      <w:r w:rsidR="005709C3">
        <w:rPr>
          <w:rFonts w:ascii="Arial" w:hAnsi="Arial" w:cs="Arial"/>
          <w:b/>
          <w:color w:val="00B050"/>
        </w:rPr>
        <w:t>02</w:t>
      </w:r>
      <w:r w:rsidR="00046BA6" w:rsidRPr="005709C3">
        <w:rPr>
          <w:rFonts w:ascii="Arial" w:hAnsi="Arial" w:cs="Arial"/>
          <w:b/>
          <w:color w:val="00B050"/>
        </w:rPr>
        <w:t>.202</w:t>
      </w:r>
      <w:r w:rsidR="005709C3">
        <w:rPr>
          <w:rFonts w:ascii="Arial" w:hAnsi="Arial" w:cs="Arial"/>
          <w:b/>
          <w:color w:val="00B050"/>
        </w:rPr>
        <w:t>1</w:t>
      </w:r>
    </w:p>
    <w:p w14:paraId="4BC79482" w14:textId="77777777" w:rsidR="00046BA6" w:rsidRPr="00C82A44" w:rsidRDefault="00046BA6" w:rsidP="00D23F0E">
      <w:pPr>
        <w:rPr>
          <w:rFonts w:ascii="Arial" w:hAnsi="Arial" w:cs="Arial"/>
          <w:b/>
        </w:rPr>
      </w:pPr>
    </w:p>
    <w:p w14:paraId="42992847" w14:textId="77777777" w:rsidR="00BC6210" w:rsidRPr="00C82A44" w:rsidRDefault="00BC6210" w:rsidP="00D23F0E">
      <w:pPr>
        <w:rPr>
          <w:rFonts w:ascii="Arial" w:hAnsi="Arial" w:cs="Arial"/>
          <w:b/>
        </w:rPr>
      </w:pPr>
    </w:p>
    <w:p w14:paraId="08AAF899" w14:textId="77777777" w:rsidR="0053144A" w:rsidRPr="00C82A44" w:rsidRDefault="001E7654" w:rsidP="00C82A44">
      <w:pPr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Sehr geehrte Damen und Herren,</w:t>
      </w:r>
    </w:p>
    <w:p w14:paraId="220FC007" w14:textId="77777777" w:rsidR="001E7654" w:rsidRPr="00C82A44" w:rsidRDefault="001E7654" w:rsidP="00C82A44">
      <w:pPr>
        <w:jc w:val="both"/>
        <w:rPr>
          <w:rFonts w:ascii="Arial" w:hAnsi="Arial" w:cs="Arial"/>
          <w:b/>
        </w:rPr>
      </w:pPr>
    </w:p>
    <w:p w14:paraId="51469A18" w14:textId="77777777" w:rsidR="00046BA6" w:rsidRPr="00C82A44" w:rsidRDefault="00EF7C05" w:rsidP="00C82A44">
      <w:pPr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g</w:t>
      </w:r>
      <w:r w:rsidR="00D6229B" w:rsidRPr="00C82A44">
        <w:rPr>
          <w:rFonts w:ascii="Arial" w:hAnsi="Arial" w:cs="Arial"/>
        </w:rPr>
        <w:t xml:space="preserve">egen den </w:t>
      </w:r>
      <w:r w:rsidR="00835B02" w:rsidRPr="00C82A44">
        <w:rPr>
          <w:rFonts w:ascii="Arial" w:hAnsi="Arial" w:cs="Arial"/>
        </w:rPr>
        <w:t>Einkommensteuer</w:t>
      </w:r>
      <w:r w:rsidR="00D26247" w:rsidRPr="00C82A44">
        <w:rPr>
          <w:rFonts w:ascii="Arial" w:hAnsi="Arial" w:cs="Arial"/>
        </w:rPr>
        <w:t>b</w:t>
      </w:r>
      <w:r w:rsidR="00D6229B" w:rsidRPr="00C82A44">
        <w:rPr>
          <w:rFonts w:ascii="Arial" w:hAnsi="Arial" w:cs="Arial"/>
        </w:rPr>
        <w:t xml:space="preserve">escheid </w:t>
      </w:r>
      <w:r w:rsidR="00D26247" w:rsidRPr="00C82A44">
        <w:rPr>
          <w:rFonts w:ascii="Arial" w:hAnsi="Arial" w:cs="Arial"/>
        </w:rPr>
        <w:t xml:space="preserve">für </w:t>
      </w:r>
      <w:r w:rsidR="00835B02" w:rsidRPr="005709C3">
        <w:rPr>
          <w:rFonts w:ascii="Arial" w:hAnsi="Arial" w:cs="Arial"/>
          <w:color w:val="00B050"/>
        </w:rPr>
        <w:t>201</w:t>
      </w:r>
      <w:r w:rsidR="00802F7B" w:rsidRPr="005709C3">
        <w:rPr>
          <w:rFonts w:ascii="Arial" w:hAnsi="Arial" w:cs="Arial"/>
          <w:color w:val="00B050"/>
        </w:rPr>
        <w:t>9</w:t>
      </w:r>
      <w:r w:rsidR="0053144A" w:rsidRPr="00C82A44">
        <w:rPr>
          <w:rFonts w:ascii="Arial" w:hAnsi="Arial" w:cs="Arial"/>
        </w:rPr>
        <w:t xml:space="preserve"> </w:t>
      </w:r>
      <w:r w:rsidR="00D26247" w:rsidRPr="00C82A44">
        <w:rPr>
          <w:rFonts w:ascii="Arial" w:hAnsi="Arial" w:cs="Arial"/>
        </w:rPr>
        <w:t xml:space="preserve">vom </w:t>
      </w:r>
      <w:proofErr w:type="spellStart"/>
      <w:r w:rsidR="0053144A" w:rsidRPr="005709C3">
        <w:rPr>
          <w:rFonts w:ascii="Arial" w:hAnsi="Arial" w:cs="Arial"/>
          <w:b/>
          <w:color w:val="00B050"/>
        </w:rPr>
        <w:t>xx</w:t>
      </w:r>
      <w:r w:rsidR="00056D9E" w:rsidRPr="005709C3">
        <w:rPr>
          <w:rFonts w:ascii="Arial" w:hAnsi="Arial" w:cs="Arial"/>
          <w:b/>
          <w:color w:val="00B050"/>
        </w:rPr>
        <w:t>.</w:t>
      </w:r>
      <w:r w:rsidR="0053144A" w:rsidRPr="005709C3">
        <w:rPr>
          <w:rFonts w:ascii="Arial" w:hAnsi="Arial" w:cs="Arial"/>
          <w:b/>
          <w:color w:val="00B050"/>
        </w:rPr>
        <w:t>xx</w:t>
      </w:r>
      <w:r w:rsidR="00056D9E" w:rsidRPr="005709C3">
        <w:rPr>
          <w:rFonts w:ascii="Arial" w:hAnsi="Arial" w:cs="Arial"/>
          <w:b/>
          <w:color w:val="00B050"/>
        </w:rPr>
        <w:t>.xxxx</w:t>
      </w:r>
      <w:proofErr w:type="spellEnd"/>
      <w:r w:rsidR="0053144A" w:rsidRPr="005709C3">
        <w:rPr>
          <w:rFonts w:ascii="Arial" w:hAnsi="Arial" w:cs="Arial"/>
          <w:color w:val="00B050"/>
        </w:rPr>
        <w:t xml:space="preserve"> </w:t>
      </w:r>
      <w:r w:rsidR="0053144A" w:rsidRPr="00C82A44">
        <w:rPr>
          <w:rFonts w:ascii="Arial" w:hAnsi="Arial" w:cs="Arial"/>
        </w:rPr>
        <w:t>wird</w:t>
      </w:r>
      <w:r w:rsidR="00835B02" w:rsidRPr="00C82A44">
        <w:rPr>
          <w:rFonts w:ascii="Arial" w:hAnsi="Arial" w:cs="Arial"/>
        </w:rPr>
        <w:t xml:space="preserve"> hiermit der</w:t>
      </w:r>
    </w:p>
    <w:p w14:paraId="1C92647C" w14:textId="77777777" w:rsidR="00046BA6" w:rsidRPr="00C82A44" w:rsidRDefault="00046BA6">
      <w:pPr>
        <w:rPr>
          <w:rFonts w:ascii="Arial" w:hAnsi="Arial" w:cs="Arial"/>
        </w:rPr>
      </w:pPr>
    </w:p>
    <w:p w14:paraId="3725B3C0" w14:textId="77777777" w:rsidR="00046BA6" w:rsidRPr="00C82A44" w:rsidRDefault="00046BA6" w:rsidP="00FA0512">
      <w:pPr>
        <w:spacing w:before="240"/>
        <w:jc w:val="center"/>
        <w:rPr>
          <w:rFonts w:ascii="Arial" w:hAnsi="Arial" w:cs="Arial"/>
          <w:b/>
        </w:rPr>
      </w:pPr>
      <w:r w:rsidRPr="00C82A44">
        <w:rPr>
          <w:rFonts w:ascii="Arial" w:hAnsi="Arial" w:cs="Arial"/>
          <w:b/>
        </w:rPr>
        <w:t>Einspruch</w:t>
      </w:r>
    </w:p>
    <w:p w14:paraId="3C6DAA43" w14:textId="77777777" w:rsidR="00BC67D3" w:rsidRPr="00C82A44" w:rsidRDefault="0053144A" w:rsidP="00C82A44">
      <w:pPr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eingelegt.</w:t>
      </w:r>
    </w:p>
    <w:p w14:paraId="56299A30" w14:textId="77777777" w:rsidR="00BC67D3" w:rsidRPr="00C82A44" w:rsidRDefault="00BC67D3" w:rsidP="00C82A44">
      <w:pPr>
        <w:jc w:val="both"/>
        <w:rPr>
          <w:rFonts w:ascii="Arial" w:hAnsi="Arial" w:cs="Arial"/>
          <w:i/>
        </w:rPr>
      </w:pPr>
    </w:p>
    <w:p w14:paraId="150D1914" w14:textId="77777777" w:rsidR="00D6229B" w:rsidRPr="00C82A44" w:rsidRDefault="00D6229B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Es wird </w:t>
      </w:r>
      <w:r w:rsidR="00835B02" w:rsidRPr="00C82A44">
        <w:rPr>
          <w:rFonts w:ascii="Arial" w:hAnsi="Arial" w:cs="Arial"/>
        </w:rPr>
        <w:t xml:space="preserve">außerdem </w:t>
      </w:r>
      <w:r w:rsidRPr="00C82A44">
        <w:rPr>
          <w:rFonts w:ascii="Arial" w:hAnsi="Arial" w:cs="Arial"/>
        </w:rPr>
        <w:t>beantragt,</w:t>
      </w:r>
      <w:r w:rsidR="00835B02" w:rsidRPr="00C82A44">
        <w:rPr>
          <w:rFonts w:ascii="Arial" w:hAnsi="Arial" w:cs="Arial"/>
        </w:rPr>
        <w:t xml:space="preserve"> das Verfahren nach § 363 </w:t>
      </w:r>
      <w:r w:rsidR="00FA0512" w:rsidRPr="00C82A44">
        <w:rPr>
          <w:rFonts w:ascii="Arial" w:hAnsi="Arial" w:cs="Arial"/>
        </w:rPr>
        <w:t>Abs.</w:t>
      </w:r>
      <w:r w:rsidR="00802F7B" w:rsidRPr="00C82A44">
        <w:rPr>
          <w:rFonts w:ascii="Arial" w:hAnsi="Arial" w:cs="Arial"/>
        </w:rPr>
        <w:t xml:space="preserve"> </w:t>
      </w:r>
      <w:r w:rsidR="00FC2921">
        <w:rPr>
          <w:rFonts w:ascii="Arial" w:hAnsi="Arial" w:cs="Arial"/>
        </w:rPr>
        <w:t>2 Satz 1</w:t>
      </w:r>
      <w:r w:rsidR="00FA0512" w:rsidRPr="00C82A44">
        <w:rPr>
          <w:rFonts w:ascii="Arial" w:hAnsi="Arial" w:cs="Arial"/>
        </w:rPr>
        <w:t xml:space="preserve"> </w:t>
      </w:r>
      <w:r w:rsidR="00835B02" w:rsidRPr="00C82A44">
        <w:rPr>
          <w:rFonts w:ascii="Arial" w:hAnsi="Arial" w:cs="Arial"/>
        </w:rPr>
        <w:t>AO</w:t>
      </w:r>
      <w:r w:rsidR="00802F7B" w:rsidRPr="00C82A44">
        <w:rPr>
          <w:rFonts w:ascii="Arial" w:hAnsi="Arial" w:cs="Arial"/>
        </w:rPr>
        <w:t xml:space="preserve"> aus Zweckmäßigkeitsgründen</w:t>
      </w:r>
      <w:r w:rsidR="00046BA6" w:rsidRPr="00C82A44">
        <w:rPr>
          <w:rFonts w:ascii="Arial" w:hAnsi="Arial" w:cs="Arial"/>
        </w:rPr>
        <w:t xml:space="preserve"> im </w:t>
      </w:r>
      <w:r w:rsidR="00802F7B" w:rsidRPr="00C82A44">
        <w:rPr>
          <w:rFonts w:ascii="Arial" w:hAnsi="Arial" w:cs="Arial"/>
        </w:rPr>
        <w:t>weiteren</w:t>
      </w:r>
      <w:r w:rsidR="00046BA6" w:rsidRPr="00C82A44">
        <w:rPr>
          <w:rFonts w:ascii="Arial" w:hAnsi="Arial" w:cs="Arial"/>
        </w:rPr>
        <w:t xml:space="preserve"> ruhen zu las</w:t>
      </w:r>
      <w:r w:rsidR="00802F7B" w:rsidRPr="00C82A44">
        <w:rPr>
          <w:rFonts w:ascii="Arial" w:hAnsi="Arial" w:cs="Arial"/>
        </w:rPr>
        <w:t>sen, aber auch wegen anhängiger BFH-Verfahren.</w:t>
      </w:r>
    </w:p>
    <w:p w14:paraId="3287CE7C" w14:textId="77777777" w:rsidR="00BC67D3" w:rsidRPr="00C82A44" w:rsidRDefault="00DF5AD5" w:rsidP="00C82A44">
      <w:pPr>
        <w:spacing w:before="120"/>
        <w:jc w:val="both"/>
        <w:rPr>
          <w:rFonts w:ascii="Arial" w:hAnsi="Arial" w:cs="Arial"/>
          <w:b/>
        </w:rPr>
      </w:pPr>
      <w:r w:rsidRPr="00C82A44">
        <w:rPr>
          <w:rFonts w:ascii="Arial" w:hAnsi="Arial" w:cs="Arial"/>
          <w:b/>
        </w:rPr>
        <w:t>Begründung</w:t>
      </w:r>
      <w:r w:rsidR="006A2DF6" w:rsidRPr="00C82A44">
        <w:rPr>
          <w:rFonts w:ascii="Arial" w:hAnsi="Arial" w:cs="Arial"/>
          <w:b/>
        </w:rPr>
        <w:t>:</w:t>
      </w:r>
    </w:p>
    <w:p w14:paraId="1F094A0F" w14:textId="77777777" w:rsidR="00046BA6" w:rsidRPr="00C82A44" w:rsidRDefault="00612AEF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In meinem zu versteuernden Einkommen</w:t>
      </w:r>
      <w:r w:rsidR="00046BA6" w:rsidRPr="00C82A44">
        <w:rPr>
          <w:rFonts w:ascii="Arial" w:hAnsi="Arial" w:cs="Arial"/>
        </w:rPr>
        <w:t xml:space="preserve"> sind Renteneinkünfte enthalten, die aus der Deutschen Ren</w:t>
      </w:r>
      <w:r w:rsidR="00802F7B" w:rsidRPr="00C82A44">
        <w:rPr>
          <w:rFonts w:ascii="Arial" w:hAnsi="Arial" w:cs="Arial"/>
        </w:rPr>
        <w:t>tenversicherung entstammen.</w:t>
      </w:r>
    </w:p>
    <w:p w14:paraId="426AE137" w14:textId="77777777" w:rsidR="00BC67D3" w:rsidRPr="00C82A44" w:rsidRDefault="00FA0512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Das Bundesverfassungsge</w:t>
      </w:r>
      <w:r w:rsidR="001D5B5C" w:rsidRPr="00C82A44">
        <w:rPr>
          <w:rFonts w:ascii="Arial" w:hAnsi="Arial" w:cs="Arial"/>
        </w:rPr>
        <w:t xml:space="preserve">richt </w:t>
      </w:r>
      <w:r w:rsidR="00F10FDB" w:rsidRPr="00C82A44">
        <w:rPr>
          <w:rFonts w:ascii="Arial" w:hAnsi="Arial" w:cs="Arial"/>
        </w:rPr>
        <w:t xml:space="preserve">(Urteil v. 6.3.2002 Az. 2 BvL 17/99; BStBl. 2002 II S.618) </w:t>
      </w:r>
      <w:r w:rsidR="001D5B5C" w:rsidRPr="00C82A44">
        <w:rPr>
          <w:rFonts w:ascii="Arial" w:hAnsi="Arial" w:cs="Arial"/>
        </w:rPr>
        <w:t xml:space="preserve">hatte unter anderem entschieden, daß </w:t>
      </w:r>
      <w:r w:rsidRPr="00C82A44">
        <w:rPr>
          <w:rFonts w:ascii="Arial" w:hAnsi="Arial" w:cs="Arial"/>
        </w:rPr>
        <w:t>Renteneinkünfte</w:t>
      </w:r>
      <w:r w:rsidR="001D5B5C" w:rsidRPr="00C82A44">
        <w:rPr>
          <w:rFonts w:ascii="Arial" w:hAnsi="Arial" w:cs="Arial"/>
        </w:rPr>
        <w:t xml:space="preserve">, soweit diese aus bereits versteuertem Einkommen stammen, in der Rentenphase nicht noch einmal der Besteuerung unterworfen werden dürfen. Dem wird der § 22 EStG in der aktuellen Fassung nicht gerecht, da es </w:t>
      </w:r>
      <w:r w:rsidR="00612AEF" w:rsidRPr="00C82A44">
        <w:rPr>
          <w:rFonts w:ascii="Arial" w:hAnsi="Arial" w:cs="Arial"/>
        </w:rPr>
        <w:t xml:space="preserve">teilweise </w:t>
      </w:r>
      <w:r w:rsidR="001D5B5C" w:rsidRPr="00C82A44">
        <w:rPr>
          <w:rFonts w:ascii="Arial" w:hAnsi="Arial" w:cs="Arial"/>
        </w:rPr>
        <w:t>zur Doppelbesteuerung kommt.</w:t>
      </w:r>
    </w:p>
    <w:p w14:paraId="194EC490" w14:textId="77777777" w:rsidR="00E80CE7" w:rsidRPr="00C82A44" w:rsidRDefault="00F24731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Bezüglich der Verfassungs</w:t>
      </w:r>
      <w:r w:rsidR="00E80CE7" w:rsidRPr="00C82A44">
        <w:rPr>
          <w:rFonts w:ascii="Arial" w:hAnsi="Arial" w:cs="Arial"/>
        </w:rPr>
        <w:t xml:space="preserve">mäßigkeit der Rentenbesteuerung, insbesondere wegen der Problematik der Doppelbesteuerung, </w:t>
      </w:r>
      <w:r w:rsidRPr="00C82A44">
        <w:rPr>
          <w:rFonts w:ascii="Arial" w:hAnsi="Arial" w:cs="Arial"/>
        </w:rPr>
        <w:t>sind vor dem Bundesfinanzhof zwei Verfahren unter Aktenzeichen X R 20/19 und X R 33/19 anhängig.</w:t>
      </w:r>
    </w:p>
    <w:p w14:paraId="7DD78A05" w14:textId="77777777" w:rsidR="00F24731" w:rsidRPr="00C82A44" w:rsidRDefault="00F24731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Es tritt daher bereits </w:t>
      </w:r>
      <w:r w:rsidR="00D76D13" w:rsidRPr="00C82A44">
        <w:rPr>
          <w:rFonts w:ascii="Arial" w:hAnsi="Arial" w:cs="Arial"/>
        </w:rPr>
        <w:t xml:space="preserve">gesetzliche </w:t>
      </w:r>
      <w:r w:rsidRPr="00C82A44">
        <w:rPr>
          <w:rFonts w:ascii="Arial" w:hAnsi="Arial" w:cs="Arial"/>
        </w:rPr>
        <w:t>Zwangsruhe ein.</w:t>
      </w:r>
    </w:p>
    <w:p w14:paraId="50D6ED7B" w14:textId="77777777" w:rsidR="00F24731" w:rsidRPr="00C82A44" w:rsidRDefault="00F24731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Eine konkrete Berechnung des </w:t>
      </w:r>
      <w:r w:rsidR="00D76D13" w:rsidRPr="00C82A44">
        <w:rPr>
          <w:rFonts w:ascii="Arial" w:hAnsi="Arial" w:cs="Arial"/>
        </w:rPr>
        <w:t xml:space="preserve">doppelt besteuerten </w:t>
      </w:r>
      <w:r w:rsidR="00E80CE7" w:rsidRPr="00C82A44">
        <w:rPr>
          <w:rFonts w:ascii="Arial" w:hAnsi="Arial" w:cs="Arial"/>
        </w:rPr>
        <w:t>Anteils ist in dem derzeitigen Stand</w:t>
      </w:r>
      <w:r w:rsidR="00EC4F0C" w:rsidRPr="00C82A44">
        <w:rPr>
          <w:rFonts w:ascii="Arial" w:hAnsi="Arial" w:cs="Arial"/>
        </w:rPr>
        <w:t xml:space="preserve"> für einen </w:t>
      </w:r>
      <w:proofErr w:type="spellStart"/>
      <w:r w:rsidR="00EC4F0C" w:rsidRPr="00C82A44">
        <w:rPr>
          <w:rFonts w:ascii="Arial" w:hAnsi="Arial" w:cs="Arial"/>
        </w:rPr>
        <w:t>Ruhensantrag</w:t>
      </w:r>
      <w:proofErr w:type="spellEnd"/>
      <w:r w:rsidR="00E80CE7" w:rsidRPr="00C82A44">
        <w:rPr>
          <w:rFonts w:ascii="Arial" w:hAnsi="Arial" w:cs="Arial"/>
        </w:rPr>
        <w:t xml:space="preserve"> nicht erforderlich, da die Methoden dazu noch nicht vom Bundesfinanzhof </w:t>
      </w:r>
      <w:r w:rsidR="00D76D13" w:rsidRPr="00C82A44">
        <w:rPr>
          <w:rFonts w:ascii="Arial" w:hAnsi="Arial" w:cs="Arial"/>
        </w:rPr>
        <w:t>geklärt sind.</w:t>
      </w:r>
    </w:p>
    <w:p w14:paraId="606177B3" w14:textId="77777777" w:rsidR="00C9569B" w:rsidRPr="00C82A44" w:rsidRDefault="00C9569B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lastRenderedPageBreak/>
        <w:t xml:space="preserve">Beim </w:t>
      </w:r>
      <w:r w:rsidR="00835B02" w:rsidRPr="00C82A44">
        <w:rPr>
          <w:rFonts w:ascii="Arial" w:hAnsi="Arial" w:cs="Arial"/>
        </w:rPr>
        <w:t>Finanzgericht des Saarlandes</w:t>
      </w:r>
      <w:r w:rsidRPr="00C82A44">
        <w:rPr>
          <w:rFonts w:ascii="Arial" w:hAnsi="Arial" w:cs="Arial"/>
        </w:rPr>
        <w:t xml:space="preserve"> ist </w:t>
      </w:r>
      <w:r w:rsidR="00EC4F0C" w:rsidRPr="00C82A44">
        <w:rPr>
          <w:rFonts w:ascii="Arial" w:hAnsi="Arial" w:cs="Arial"/>
        </w:rPr>
        <w:t xml:space="preserve">indes </w:t>
      </w:r>
      <w:r w:rsidRPr="00C82A44">
        <w:rPr>
          <w:rFonts w:ascii="Arial" w:hAnsi="Arial" w:cs="Arial"/>
        </w:rPr>
        <w:t xml:space="preserve">ein Verfahren wegen dieser Rechtsfrage </w:t>
      </w:r>
      <w:r w:rsidR="00BC5712">
        <w:rPr>
          <w:rFonts w:ascii="Arial" w:hAnsi="Arial" w:cs="Arial"/>
        </w:rPr>
        <w:t xml:space="preserve">und der Berechnung </w:t>
      </w:r>
      <w:r w:rsidRPr="00C82A44">
        <w:rPr>
          <w:rFonts w:ascii="Arial" w:hAnsi="Arial" w:cs="Arial"/>
        </w:rPr>
        <w:t>anhängig (</w:t>
      </w:r>
      <w:r w:rsidR="001D5B5C" w:rsidRPr="00C82A44">
        <w:rPr>
          <w:rFonts w:ascii="Arial" w:hAnsi="Arial" w:cs="Arial"/>
        </w:rPr>
        <w:t xml:space="preserve">Aktenzeichen </w:t>
      </w:r>
      <w:r w:rsidR="00835B02" w:rsidRPr="00C82A44">
        <w:rPr>
          <w:rFonts w:ascii="Arial" w:hAnsi="Arial" w:cs="Arial"/>
        </w:rPr>
        <w:t>3</w:t>
      </w:r>
      <w:r w:rsidR="001D5B5C" w:rsidRPr="00C82A44">
        <w:rPr>
          <w:rFonts w:ascii="Arial" w:hAnsi="Arial" w:cs="Arial"/>
        </w:rPr>
        <w:t> </w:t>
      </w:r>
      <w:r w:rsidR="00835B02" w:rsidRPr="00C82A44">
        <w:rPr>
          <w:rFonts w:ascii="Arial" w:hAnsi="Arial" w:cs="Arial"/>
        </w:rPr>
        <w:t>K</w:t>
      </w:r>
      <w:r w:rsidR="001D5B5C" w:rsidRPr="00C82A44">
        <w:rPr>
          <w:rFonts w:ascii="Arial" w:hAnsi="Arial" w:cs="Arial"/>
        </w:rPr>
        <w:t> </w:t>
      </w:r>
      <w:r w:rsidR="00835B02" w:rsidRPr="00C82A44">
        <w:rPr>
          <w:rFonts w:ascii="Arial" w:hAnsi="Arial" w:cs="Arial"/>
        </w:rPr>
        <w:t>1072/20</w:t>
      </w:r>
      <w:r w:rsidR="00612AEF" w:rsidRPr="00C82A44">
        <w:rPr>
          <w:rFonts w:ascii="Arial" w:hAnsi="Arial" w:cs="Arial"/>
        </w:rPr>
        <w:t>), auch wegen des Verstoßes gegen das Rückwirkungsverbotes und der Zuordnung der Rentenbeiträge zu den beschränkten Sonderausgaben.</w:t>
      </w:r>
    </w:p>
    <w:p w14:paraId="1639FD13" w14:textId="77777777" w:rsidR="00D76D13" w:rsidRDefault="00D76D13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Der Kläger dort hat bereits eine </w:t>
      </w:r>
      <w:r w:rsidR="00BC5712">
        <w:rPr>
          <w:rFonts w:ascii="Arial" w:hAnsi="Arial" w:cs="Arial"/>
        </w:rPr>
        <w:t>Berechnungsmethode</w:t>
      </w:r>
      <w:r w:rsidR="008423FB" w:rsidRPr="00C82A44">
        <w:rPr>
          <w:rFonts w:ascii="Arial" w:hAnsi="Arial" w:cs="Arial"/>
        </w:rPr>
        <w:t xml:space="preserve"> in die Klage einge</w:t>
      </w:r>
      <w:r w:rsidR="00BC5712">
        <w:rPr>
          <w:rFonts w:ascii="Arial" w:hAnsi="Arial" w:cs="Arial"/>
        </w:rPr>
        <w:t>bracht</w:t>
      </w:r>
      <w:r w:rsidR="008423FB" w:rsidRPr="00C82A44">
        <w:rPr>
          <w:rFonts w:ascii="Arial" w:hAnsi="Arial" w:cs="Arial"/>
        </w:rPr>
        <w:t>, die Schindler/Braun-Formel (NWB-Heft 11 von 2020, Seite 784 ff), nach der auch hier eine Überprüfung stattfinden kann.</w:t>
      </w:r>
    </w:p>
    <w:p w14:paraId="49AE7CB9" w14:textId="77777777" w:rsidR="00FC2921" w:rsidRDefault="00FC2921" w:rsidP="00C82A4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Dies genügt den Ausführungen im BFH-Urteil vom 21.06.2016 (Az. X R 44/14), als Nachweis für die Doppelbesteuerung.</w:t>
      </w:r>
    </w:p>
    <w:p w14:paraId="45F38F3C" w14:textId="77777777" w:rsidR="001360FF" w:rsidRPr="00C82A44" w:rsidRDefault="001360FF" w:rsidP="00C82A4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Für das Ruhen des Verfahrens</w:t>
      </w:r>
      <w:r w:rsidR="005709C3">
        <w:rPr>
          <w:rFonts w:ascii="Arial" w:hAnsi="Arial" w:cs="Arial"/>
        </w:rPr>
        <w:t xml:space="preserve"> ist die Berechnung nicht vom Einspruchsführer durchzuführen, sondern vom Finanzamt selbst.</w:t>
      </w:r>
    </w:p>
    <w:p w14:paraId="2BCADC52" w14:textId="77777777" w:rsidR="00D76D13" w:rsidRPr="00C82A44" w:rsidRDefault="00AF51C0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In der Fachzeitung </w:t>
      </w:r>
      <w:r w:rsidR="00EC4F0C" w:rsidRPr="00C82A44">
        <w:rPr>
          <w:rFonts w:ascii="Arial" w:hAnsi="Arial" w:cs="Arial"/>
        </w:rPr>
        <w:t>NWB sind dafür</w:t>
      </w:r>
      <w:r w:rsidRPr="00C82A44">
        <w:rPr>
          <w:rFonts w:ascii="Arial" w:hAnsi="Arial" w:cs="Arial"/>
        </w:rPr>
        <w:t xml:space="preserve"> Tabellen zugänglich, nach welchen die Doppelbesteuerung der Renten bei einer normalen Verteilung </w:t>
      </w:r>
      <w:r w:rsidR="00D24A0F">
        <w:rPr>
          <w:rFonts w:ascii="Arial" w:hAnsi="Arial" w:cs="Arial"/>
        </w:rPr>
        <w:t xml:space="preserve">des Einkommens in der Einzahlungsphase </w:t>
      </w:r>
      <w:r w:rsidR="00BC5712">
        <w:rPr>
          <w:rFonts w:ascii="Arial" w:hAnsi="Arial" w:cs="Arial"/>
        </w:rPr>
        <w:t>angenähert</w:t>
      </w:r>
      <w:r w:rsidRPr="00C82A44">
        <w:rPr>
          <w:rFonts w:ascii="Arial" w:hAnsi="Arial" w:cs="Arial"/>
        </w:rPr>
        <w:t xml:space="preserve"> werden können.</w:t>
      </w:r>
      <w:r w:rsidR="00EC4F0C" w:rsidRPr="00C82A44">
        <w:rPr>
          <w:rFonts w:ascii="Arial" w:hAnsi="Arial" w:cs="Arial"/>
        </w:rPr>
        <w:t xml:space="preserve"> Dies ist Aufgabe der Finanzbehörde, da das Rechnen nach den Steuergesetzen </w:t>
      </w:r>
      <w:r w:rsidR="00C1668C">
        <w:rPr>
          <w:rFonts w:ascii="Arial" w:hAnsi="Arial" w:cs="Arial"/>
        </w:rPr>
        <w:t>ein</w:t>
      </w:r>
      <w:r w:rsidR="00EC4F0C" w:rsidRPr="00C82A44">
        <w:rPr>
          <w:rFonts w:ascii="Arial" w:hAnsi="Arial" w:cs="Arial"/>
        </w:rPr>
        <w:t xml:space="preserve"> Teil der Rechtsanwen</w:t>
      </w:r>
      <w:r w:rsidR="00AC1601" w:rsidRPr="00C82A44">
        <w:rPr>
          <w:rFonts w:ascii="Arial" w:hAnsi="Arial" w:cs="Arial"/>
        </w:rPr>
        <w:t>dung ist und den Rentnern nicht zumutbar.</w:t>
      </w:r>
    </w:p>
    <w:p w14:paraId="2073025E" w14:textId="77777777" w:rsidR="00C9569B" w:rsidRPr="00C82A44" w:rsidRDefault="00C9569B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Unter Bezugnahme auf dieses vorgenannte Verfahren</w:t>
      </w:r>
      <w:r w:rsidR="00EC4F0C" w:rsidRPr="00C82A44">
        <w:rPr>
          <w:rFonts w:ascii="Arial" w:hAnsi="Arial" w:cs="Arial"/>
        </w:rPr>
        <w:t xml:space="preserve"> im Saarland</w:t>
      </w:r>
      <w:r w:rsidRPr="00C82A44">
        <w:rPr>
          <w:rFonts w:ascii="Arial" w:hAnsi="Arial" w:cs="Arial"/>
        </w:rPr>
        <w:t xml:space="preserve"> </w:t>
      </w:r>
      <w:r w:rsidR="008423FB" w:rsidRPr="00C82A44">
        <w:rPr>
          <w:rFonts w:ascii="Arial" w:hAnsi="Arial" w:cs="Arial"/>
        </w:rPr>
        <w:t>ist gemäß der Abstimmung unter den Bundesländern</w:t>
      </w:r>
      <w:r w:rsidRPr="00C82A44">
        <w:rPr>
          <w:rFonts w:ascii="Arial" w:hAnsi="Arial" w:cs="Arial"/>
        </w:rPr>
        <w:t xml:space="preserve">, </w:t>
      </w:r>
      <w:r w:rsidR="00AF51C0" w:rsidRPr="00C82A44">
        <w:rPr>
          <w:rFonts w:ascii="Arial" w:hAnsi="Arial" w:cs="Arial"/>
        </w:rPr>
        <w:t xml:space="preserve">den Dienstanweisungen, </w:t>
      </w:r>
      <w:r w:rsidRPr="00C82A44">
        <w:rPr>
          <w:rFonts w:ascii="Arial" w:hAnsi="Arial" w:cs="Arial"/>
        </w:rPr>
        <w:t>das Einspruchsverfah</w:t>
      </w:r>
      <w:r w:rsidR="00AC1601" w:rsidRPr="00C82A44">
        <w:rPr>
          <w:rFonts w:ascii="Arial" w:hAnsi="Arial" w:cs="Arial"/>
        </w:rPr>
        <w:t>ren nach § </w:t>
      </w:r>
      <w:r w:rsidRPr="00C82A44">
        <w:rPr>
          <w:rFonts w:ascii="Arial" w:hAnsi="Arial" w:cs="Arial"/>
        </w:rPr>
        <w:t>363 Ab</w:t>
      </w:r>
      <w:r w:rsidR="001D5B5C" w:rsidRPr="00C82A44">
        <w:rPr>
          <w:rFonts w:ascii="Arial" w:hAnsi="Arial" w:cs="Arial"/>
        </w:rPr>
        <w:t xml:space="preserve">s. </w:t>
      </w:r>
      <w:r w:rsidR="00E80CE7" w:rsidRPr="00C82A44">
        <w:rPr>
          <w:rFonts w:ascii="Arial" w:hAnsi="Arial" w:cs="Arial"/>
        </w:rPr>
        <w:t>1</w:t>
      </w:r>
      <w:r w:rsidR="001D5B5C" w:rsidRPr="00C82A44">
        <w:rPr>
          <w:rFonts w:ascii="Arial" w:hAnsi="Arial" w:cs="Arial"/>
        </w:rPr>
        <w:t xml:space="preserve"> AO </w:t>
      </w:r>
      <w:r w:rsidR="00AC1601" w:rsidRPr="00C82A44">
        <w:rPr>
          <w:rFonts w:ascii="Arial" w:hAnsi="Arial" w:cs="Arial"/>
        </w:rPr>
        <w:t xml:space="preserve">auch </w:t>
      </w:r>
      <w:r w:rsidR="008423FB" w:rsidRPr="00C82A44">
        <w:rPr>
          <w:rFonts w:ascii="Arial" w:hAnsi="Arial" w:cs="Arial"/>
        </w:rPr>
        <w:t>aus</w:t>
      </w:r>
      <w:r w:rsidR="00AF51C0" w:rsidRPr="00C82A44">
        <w:rPr>
          <w:rFonts w:ascii="Arial" w:hAnsi="Arial" w:cs="Arial"/>
        </w:rPr>
        <w:t xml:space="preserve"> Zweckmäßigkeitsgründen</w:t>
      </w:r>
      <w:r w:rsidR="008423FB" w:rsidRPr="00C82A44">
        <w:rPr>
          <w:rFonts w:ascii="Arial" w:hAnsi="Arial" w:cs="Arial"/>
        </w:rPr>
        <w:t xml:space="preserve"> </w:t>
      </w:r>
      <w:r w:rsidR="001D5B5C" w:rsidRPr="00C82A44">
        <w:rPr>
          <w:rFonts w:ascii="Arial" w:hAnsi="Arial" w:cs="Arial"/>
        </w:rPr>
        <w:t>ruhen zu lassen.</w:t>
      </w:r>
    </w:p>
    <w:p w14:paraId="772E9C0C" w14:textId="77777777" w:rsidR="00D6229B" w:rsidRDefault="00C9569B" w:rsidP="00D24A0F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Der strittige Bescheid ist im </w:t>
      </w:r>
      <w:r w:rsidR="00923C28" w:rsidRPr="00C82A44">
        <w:rPr>
          <w:rFonts w:ascii="Arial" w:hAnsi="Arial" w:cs="Arial"/>
        </w:rPr>
        <w:t>übrigen</w:t>
      </w:r>
      <w:r w:rsidRPr="00C82A44">
        <w:rPr>
          <w:rFonts w:ascii="Arial" w:hAnsi="Arial" w:cs="Arial"/>
        </w:rPr>
        <w:t xml:space="preserve"> </w:t>
      </w:r>
      <w:r w:rsidR="0000451E" w:rsidRPr="00C82A44">
        <w:rPr>
          <w:rFonts w:ascii="Arial" w:hAnsi="Arial" w:cs="Arial"/>
        </w:rPr>
        <w:t>insoweit</w:t>
      </w:r>
      <w:r w:rsidR="00AF51C0" w:rsidRPr="00C82A44">
        <w:rPr>
          <w:rFonts w:ascii="Arial" w:hAnsi="Arial" w:cs="Arial"/>
        </w:rPr>
        <w:t xml:space="preserve"> nach den Abstimmungen der Länder</w:t>
      </w:r>
      <w:r w:rsidR="0000451E" w:rsidRPr="00C82A44">
        <w:rPr>
          <w:rFonts w:ascii="Arial" w:hAnsi="Arial" w:cs="Arial"/>
        </w:rPr>
        <w:t xml:space="preserve"> </w:t>
      </w:r>
      <w:r w:rsidR="00AF51C0" w:rsidRPr="00C82A44">
        <w:rPr>
          <w:rFonts w:ascii="Arial" w:hAnsi="Arial" w:cs="Arial"/>
        </w:rPr>
        <w:t xml:space="preserve">im Jahre 2020 </w:t>
      </w:r>
      <w:r w:rsidRPr="00C82A44">
        <w:rPr>
          <w:rFonts w:ascii="Arial" w:hAnsi="Arial" w:cs="Arial"/>
        </w:rPr>
        <w:t>nicht nach § 165 Abs. 1 Satz 2 Nr. 3</w:t>
      </w:r>
      <w:r w:rsidR="00FA0512" w:rsidRPr="00C82A44">
        <w:rPr>
          <w:rFonts w:ascii="Arial" w:hAnsi="Arial" w:cs="Arial"/>
        </w:rPr>
        <w:t>, 4</w:t>
      </w:r>
      <w:r w:rsidR="00AF51C0" w:rsidRPr="00C82A44">
        <w:rPr>
          <w:rFonts w:ascii="Arial" w:hAnsi="Arial" w:cs="Arial"/>
        </w:rPr>
        <w:t xml:space="preserve"> AO vorläufig ergangen, so daß der Einspruch</w:t>
      </w:r>
      <w:r w:rsidR="0055076C">
        <w:rPr>
          <w:rFonts w:ascii="Arial" w:hAnsi="Arial" w:cs="Arial"/>
        </w:rPr>
        <w:t xml:space="preserve"> jedes Jahr neu</w:t>
      </w:r>
      <w:r w:rsidR="00AF51C0" w:rsidRPr="00C82A44">
        <w:rPr>
          <w:rFonts w:ascii="Arial" w:hAnsi="Arial" w:cs="Arial"/>
        </w:rPr>
        <w:t xml:space="preserve"> erforderlich ist.</w:t>
      </w:r>
    </w:p>
    <w:p w14:paraId="522578A3" w14:textId="77777777" w:rsidR="00D24A0F" w:rsidRPr="00C82A44" w:rsidRDefault="00D24A0F" w:rsidP="00D24A0F">
      <w:pPr>
        <w:spacing w:before="120"/>
        <w:jc w:val="both"/>
        <w:rPr>
          <w:rFonts w:ascii="Arial" w:hAnsi="Arial" w:cs="Arial"/>
        </w:rPr>
      </w:pPr>
    </w:p>
    <w:p w14:paraId="0291DDDC" w14:textId="77777777" w:rsidR="00AF51C0" w:rsidRPr="00C82A44" w:rsidRDefault="00AF51C0" w:rsidP="00D24A0F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Bitte bestätigen Sie mir </w:t>
      </w:r>
      <w:r w:rsidR="00AC1601" w:rsidRPr="00C82A44">
        <w:rPr>
          <w:rFonts w:ascii="Arial" w:hAnsi="Arial" w:cs="Arial"/>
        </w:rPr>
        <w:t>das Ruhen des Verfahrens schriftlich.</w:t>
      </w:r>
    </w:p>
    <w:p w14:paraId="30F8EFD4" w14:textId="77777777" w:rsidR="00381000" w:rsidRPr="00C82A44" w:rsidRDefault="00381000" w:rsidP="00D24A0F">
      <w:pPr>
        <w:spacing w:before="120"/>
        <w:jc w:val="both"/>
        <w:rPr>
          <w:rFonts w:ascii="Arial" w:hAnsi="Arial" w:cs="Arial"/>
        </w:rPr>
      </w:pPr>
    </w:p>
    <w:p w14:paraId="5915669E" w14:textId="77777777" w:rsidR="00407888" w:rsidRPr="00C82A44" w:rsidRDefault="00D6229B" w:rsidP="00D24A0F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Mi</w:t>
      </w:r>
      <w:r w:rsidR="00F7698C" w:rsidRPr="00C82A44">
        <w:rPr>
          <w:rFonts w:ascii="Arial" w:hAnsi="Arial" w:cs="Arial"/>
        </w:rPr>
        <w:t>t freundlichen Grüßen</w:t>
      </w:r>
    </w:p>
    <w:p w14:paraId="250E9AA2" w14:textId="77777777" w:rsidR="00162823" w:rsidRPr="00C82A44" w:rsidRDefault="00162823" w:rsidP="00C82A44">
      <w:pPr>
        <w:jc w:val="both"/>
        <w:rPr>
          <w:rFonts w:ascii="Arial" w:hAnsi="Arial" w:cs="Arial"/>
        </w:rPr>
      </w:pPr>
    </w:p>
    <w:p w14:paraId="3C4F0D85" w14:textId="77777777" w:rsidR="000C68D2" w:rsidRPr="00C82A44" w:rsidRDefault="000C68D2" w:rsidP="00C82A44">
      <w:pPr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…………………………</w:t>
      </w:r>
      <w:r w:rsidR="00D47263" w:rsidRPr="00C82A44">
        <w:rPr>
          <w:rFonts w:ascii="Arial" w:hAnsi="Arial" w:cs="Arial"/>
        </w:rPr>
        <w:t>…</w:t>
      </w:r>
    </w:p>
    <w:p w14:paraId="3FC68AE5" w14:textId="77777777" w:rsidR="00D6229B" w:rsidRPr="00C82A44" w:rsidRDefault="00381000" w:rsidP="00C82A44">
      <w:pPr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Unterschrift</w:t>
      </w:r>
      <w:r w:rsidR="00407888" w:rsidRPr="00C82A44">
        <w:rPr>
          <w:rFonts w:ascii="Arial" w:hAnsi="Arial" w:cs="Arial"/>
          <w:b/>
        </w:rPr>
        <w:t xml:space="preserve"> </w:t>
      </w:r>
      <w:r w:rsidR="00046BA6" w:rsidRPr="005709C3">
        <w:rPr>
          <w:rFonts w:ascii="Arial" w:hAnsi="Arial" w:cs="Arial"/>
          <w:color w:val="00B050"/>
        </w:rPr>
        <w:t>Lisa Fleißig</w:t>
      </w:r>
    </w:p>
    <w:p w14:paraId="3ECB5C64" w14:textId="77777777" w:rsidR="009E1054" w:rsidRPr="00C82A44" w:rsidRDefault="00D6229B" w:rsidP="00C82A44">
      <w:pPr>
        <w:jc w:val="both"/>
        <w:rPr>
          <w:rFonts w:ascii="Arial" w:hAnsi="Arial" w:cs="Arial"/>
          <w:b/>
        </w:rPr>
      </w:pPr>
      <w:r w:rsidRPr="00C82A44">
        <w:rPr>
          <w:rFonts w:ascii="Arial" w:hAnsi="Arial" w:cs="Arial"/>
        </w:rPr>
        <w:t>(e</w:t>
      </w:r>
      <w:r w:rsidR="00BC67D3" w:rsidRPr="00C82A44">
        <w:rPr>
          <w:rFonts w:ascii="Arial" w:hAnsi="Arial" w:cs="Arial"/>
        </w:rPr>
        <w:t>igenhändige Unterschrift</w:t>
      </w:r>
      <w:r w:rsidRPr="00C82A44">
        <w:rPr>
          <w:rFonts w:ascii="Arial" w:hAnsi="Arial" w:cs="Arial"/>
        </w:rPr>
        <w:t>)</w:t>
      </w:r>
      <w:r w:rsidR="009E1054" w:rsidRPr="00C82A44">
        <w:rPr>
          <w:rFonts w:ascii="Arial" w:hAnsi="Arial" w:cs="Arial"/>
        </w:rPr>
        <w:fldChar w:fldCharType="begin"/>
      </w:r>
      <w:r w:rsidR="009E1054" w:rsidRPr="00C82A44">
        <w:rPr>
          <w:rFonts w:ascii="Arial" w:hAnsi="Arial" w:cs="Arial"/>
        </w:rPr>
        <w:instrText>IF</w:instrText>
      </w:r>
      <w:r w:rsidR="009E1054" w:rsidRPr="00C82A44">
        <w:rPr>
          <w:rFonts w:ascii="Arial" w:hAnsi="Arial" w:cs="Arial"/>
        </w:rPr>
        <w:fldChar w:fldCharType="begin"/>
      </w:r>
      <w:r w:rsidR="009E1054" w:rsidRPr="00C82A44">
        <w:rPr>
          <w:rFonts w:ascii="Arial" w:hAnsi="Arial" w:cs="Arial"/>
        </w:rPr>
        <w:instrText>PAGE</w:instrText>
      </w:r>
      <w:r w:rsidR="009E1054" w:rsidRPr="00C82A44">
        <w:rPr>
          <w:rFonts w:ascii="Arial" w:hAnsi="Arial" w:cs="Arial"/>
        </w:rPr>
        <w:fldChar w:fldCharType="separate"/>
      </w:r>
      <w:r w:rsidR="00C82A44" w:rsidRPr="00C82A44">
        <w:rPr>
          <w:rFonts w:ascii="Arial" w:hAnsi="Arial" w:cs="Arial"/>
          <w:noProof/>
        </w:rPr>
        <w:instrText>2</w:instrText>
      </w:r>
      <w:r w:rsidR="009E1054" w:rsidRPr="00C82A44">
        <w:rPr>
          <w:rFonts w:ascii="Arial" w:hAnsi="Arial" w:cs="Arial"/>
        </w:rPr>
        <w:fldChar w:fldCharType="end"/>
      </w:r>
      <w:r w:rsidR="009E1054" w:rsidRPr="00C82A44">
        <w:rPr>
          <w:rFonts w:ascii="Arial" w:hAnsi="Arial" w:cs="Arial"/>
        </w:rPr>
        <w:instrText>&lt;&gt;</w:instrText>
      </w:r>
      <w:r w:rsidR="009E1054" w:rsidRPr="00C82A44">
        <w:rPr>
          <w:rFonts w:ascii="Arial" w:hAnsi="Arial" w:cs="Arial"/>
        </w:rPr>
        <w:fldChar w:fldCharType="begin"/>
      </w:r>
      <w:r w:rsidR="009E1054" w:rsidRPr="00C82A44">
        <w:rPr>
          <w:rFonts w:ascii="Arial" w:hAnsi="Arial" w:cs="Arial"/>
        </w:rPr>
        <w:instrText>NUMPAGES</w:instrText>
      </w:r>
      <w:r w:rsidR="009E1054" w:rsidRPr="00C82A44">
        <w:rPr>
          <w:rFonts w:ascii="Arial" w:hAnsi="Arial" w:cs="Arial"/>
        </w:rPr>
        <w:fldChar w:fldCharType="separate"/>
      </w:r>
      <w:r w:rsidR="00C82A44" w:rsidRPr="00C82A44">
        <w:rPr>
          <w:rFonts w:ascii="Arial" w:hAnsi="Arial" w:cs="Arial"/>
          <w:noProof/>
        </w:rPr>
        <w:instrText>2</w:instrText>
      </w:r>
      <w:r w:rsidR="009E1054" w:rsidRPr="00C82A44">
        <w:rPr>
          <w:rFonts w:ascii="Arial" w:hAnsi="Arial" w:cs="Arial"/>
        </w:rPr>
        <w:fldChar w:fldCharType="end"/>
      </w:r>
      <w:r w:rsidR="009E1054" w:rsidRPr="00C82A44">
        <w:rPr>
          <w:rFonts w:ascii="Arial" w:hAnsi="Arial" w:cs="Arial"/>
        </w:rPr>
        <w:fldChar w:fldCharType="begin"/>
      </w:r>
      <w:r w:rsidR="009E1054" w:rsidRPr="00C82A44">
        <w:rPr>
          <w:rFonts w:ascii="Arial" w:hAnsi="Arial" w:cs="Arial"/>
        </w:rPr>
        <w:instrText>=</w:instrText>
      </w:r>
      <w:r w:rsidR="009E1054" w:rsidRPr="00C82A44">
        <w:rPr>
          <w:rFonts w:ascii="Arial" w:hAnsi="Arial" w:cs="Arial"/>
        </w:rPr>
        <w:fldChar w:fldCharType="begin"/>
      </w:r>
      <w:r w:rsidR="009E1054" w:rsidRPr="00C82A44">
        <w:rPr>
          <w:rFonts w:ascii="Arial" w:hAnsi="Arial" w:cs="Arial"/>
        </w:rPr>
        <w:instrText>PAGE</w:instrText>
      </w:r>
      <w:r w:rsidR="009E1054" w:rsidRPr="00C82A44">
        <w:rPr>
          <w:rFonts w:ascii="Arial" w:hAnsi="Arial" w:cs="Arial"/>
        </w:rPr>
        <w:fldChar w:fldCharType="end"/>
      </w:r>
      <w:r w:rsidR="009E1054" w:rsidRPr="00C82A44">
        <w:rPr>
          <w:rFonts w:ascii="Arial" w:hAnsi="Arial" w:cs="Arial"/>
        </w:rPr>
        <w:instrText>+1</w:instrText>
      </w:r>
      <w:r w:rsidR="009E1054" w:rsidRPr="00C82A44">
        <w:rPr>
          <w:rFonts w:ascii="Arial" w:hAnsi="Arial" w:cs="Arial"/>
        </w:rPr>
        <w:fldChar w:fldCharType="end"/>
      </w:r>
      <w:r w:rsidR="009E1054" w:rsidRPr="00C82A44">
        <w:rPr>
          <w:rFonts w:ascii="Arial" w:hAnsi="Arial" w:cs="Arial"/>
        </w:rPr>
        <w:fldChar w:fldCharType="end"/>
      </w:r>
    </w:p>
    <w:sectPr w:rsidR="009E1054" w:rsidRPr="00C82A4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BAC76" w14:textId="77777777" w:rsidR="007D7B61" w:rsidRDefault="007D7B61">
      <w:r>
        <w:separator/>
      </w:r>
    </w:p>
  </w:endnote>
  <w:endnote w:type="continuationSeparator" w:id="0">
    <w:p w14:paraId="0B90DA82" w14:textId="77777777" w:rsidR="007D7B61" w:rsidRDefault="007D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5CD71" w14:textId="77777777" w:rsidR="00321FF4" w:rsidRDefault="00321FF4" w:rsidP="009C301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9A8EE" w14:textId="77777777" w:rsidR="007D7B61" w:rsidRDefault="007D7B61">
      <w:r>
        <w:separator/>
      </w:r>
    </w:p>
  </w:footnote>
  <w:footnote w:type="continuationSeparator" w:id="0">
    <w:p w14:paraId="79F1D944" w14:textId="77777777" w:rsidR="007D7B61" w:rsidRDefault="007D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DBBC1" w14:textId="77777777" w:rsidR="00321FF4" w:rsidRPr="00513DC2" w:rsidRDefault="00321FF4" w:rsidP="00AB02AD">
    <w:pPr>
      <w:pStyle w:val="Kopfzeile"/>
      <w:tabs>
        <w:tab w:val="clear" w:pos="9072"/>
        <w:tab w:val="right" w:pos="9540"/>
      </w:tabs>
      <w:ind w:right="-1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D9"/>
    <w:rsid w:val="0000451E"/>
    <w:rsid w:val="00046BA6"/>
    <w:rsid w:val="00056D9E"/>
    <w:rsid w:val="0006252A"/>
    <w:rsid w:val="0009169C"/>
    <w:rsid w:val="000B5BFD"/>
    <w:rsid w:val="000C68D2"/>
    <w:rsid w:val="00107244"/>
    <w:rsid w:val="00114B9D"/>
    <w:rsid w:val="001233F3"/>
    <w:rsid w:val="00131F10"/>
    <w:rsid w:val="001360FF"/>
    <w:rsid w:val="00162823"/>
    <w:rsid w:val="0018575F"/>
    <w:rsid w:val="00197E78"/>
    <w:rsid w:val="001B5512"/>
    <w:rsid w:val="001C61C7"/>
    <w:rsid w:val="001D0E90"/>
    <w:rsid w:val="001D5B5C"/>
    <w:rsid w:val="001E2F45"/>
    <w:rsid w:val="001E7654"/>
    <w:rsid w:val="00201628"/>
    <w:rsid w:val="002163F3"/>
    <w:rsid w:val="0022568A"/>
    <w:rsid w:val="00245483"/>
    <w:rsid w:val="002A66A7"/>
    <w:rsid w:val="002E746F"/>
    <w:rsid w:val="0030052C"/>
    <w:rsid w:val="00321FF4"/>
    <w:rsid w:val="00333D80"/>
    <w:rsid w:val="00366BD2"/>
    <w:rsid w:val="00372A39"/>
    <w:rsid w:val="00381000"/>
    <w:rsid w:val="00385920"/>
    <w:rsid w:val="003A2346"/>
    <w:rsid w:val="003A75F0"/>
    <w:rsid w:val="00407888"/>
    <w:rsid w:val="00421EDA"/>
    <w:rsid w:val="00442508"/>
    <w:rsid w:val="004653B5"/>
    <w:rsid w:val="004A183E"/>
    <w:rsid w:val="00513DC2"/>
    <w:rsid w:val="0053144A"/>
    <w:rsid w:val="0055076C"/>
    <w:rsid w:val="005702E0"/>
    <w:rsid w:val="005709C3"/>
    <w:rsid w:val="0057267A"/>
    <w:rsid w:val="00574928"/>
    <w:rsid w:val="00590C54"/>
    <w:rsid w:val="005A0311"/>
    <w:rsid w:val="005A3118"/>
    <w:rsid w:val="005A5F4A"/>
    <w:rsid w:val="005A6CFA"/>
    <w:rsid w:val="00611F46"/>
    <w:rsid w:val="00612AEF"/>
    <w:rsid w:val="00627B87"/>
    <w:rsid w:val="0064344F"/>
    <w:rsid w:val="006A2551"/>
    <w:rsid w:val="006A2DF6"/>
    <w:rsid w:val="006B065F"/>
    <w:rsid w:val="006C4E78"/>
    <w:rsid w:val="006D1AE8"/>
    <w:rsid w:val="0073191B"/>
    <w:rsid w:val="00766CC3"/>
    <w:rsid w:val="007B6C05"/>
    <w:rsid w:val="007C3C05"/>
    <w:rsid w:val="007D7B61"/>
    <w:rsid w:val="007E3E04"/>
    <w:rsid w:val="007F5107"/>
    <w:rsid w:val="00802F7B"/>
    <w:rsid w:val="00814C8B"/>
    <w:rsid w:val="00826CE0"/>
    <w:rsid w:val="00835B02"/>
    <w:rsid w:val="008423FB"/>
    <w:rsid w:val="00863C09"/>
    <w:rsid w:val="00871090"/>
    <w:rsid w:val="00881B85"/>
    <w:rsid w:val="00882887"/>
    <w:rsid w:val="008A0279"/>
    <w:rsid w:val="008A0567"/>
    <w:rsid w:val="008C4348"/>
    <w:rsid w:val="008C5C60"/>
    <w:rsid w:val="008E7DD3"/>
    <w:rsid w:val="008F3E6E"/>
    <w:rsid w:val="0091349D"/>
    <w:rsid w:val="00914CE0"/>
    <w:rsid w:val="00923C28"/>
    <w:rsid w:val="0096749A"/>
    <w:rsid w:val="009726C3"/>
    <w:rsid w:val="00980DCC"/>
    <w:rsid w:val="00994A06"/>
    <w:rsid w:val="009A3AB5"/>
    <w:rsid w:val="009C301D"/>
    <w:rsid w:val="009D1380"/>
    <w:rsid w:val="009D4DC2"/>
    <w:rsid w:val="009E1054"/>
    <w:rsid w:val="009F58A2"/>
    <w:rsid w:val="00A0103E"/>
    <w:rsid w:val="00A1620A"/>
    <w:rsid w:val="00A3506B"/>
    <w:rsid w:val="00A66A11"/>
    <w:rsid w:val="00AB02AD"/>
    <w:rsid w:val="00AC1601"/>
    <w:rsid w:val="00AC6CCA"/>
    <w:rsid w:val="00AF0141"/>
    <w:rsid w:val="00AF2D31"/>
    <w:rsid w:val="00AF3E18"/>
    <w:rsid w:val="00AF51C0"/>
    <w:rsid w:val="00B2085D"/>
    <w:rsid w:val="00B450B1"/>
    <w:rsid w:val="00B65954"/>
    <w:rsid w:val="00B65EB4"/>
    <w:rsid w:val="00B7232A"/>
    <w:rsid w:val="00B85D26"/>
    <w:rsid w:val="00BC5712"/>
    <w:rsid w:val="00BC6210"/>
    <w:rsid w:val="00BC6642"/>
    <w:rsid w:val="00BC67D3"/>
    <w:rsid w:val="00C02A98"/>
    <w:rsid w:val="00C1668C"/>
    <w:rsid w:val="00C32F1F"/>
    <w:rsid w:val="00C423BB"/>
    <w:rsid w:val="00C748C4"/>
    <w:rsid w:val="00C82A44"/>
    <w:rsid w:val="00C84289"/>
    <w:rsid w:val="00C9569B"/>
    <w:rsid w:val="00CF1154"/>
    <w:rsid w:val="00CF3542"/>
    <w:rsid w:val="00D23F0E"/>
    <w:rsid w:val="00D24A0F"/>
    <w:rsid w:val="00D26247"/>
    <w:rsid w:val="00D47263"/>
    <w:rsid w:val="00D619F0"/>
    <w:rsid w:val="00D6229B"/>
    <w:rsid w:val="00D6360E"/>
    <w:rsid w:val="00D6669A"/>
    <w:rsid w:val="00D762D8"/>
    <w:rsid w:val="00D76D13"/>
    <w:rsid w:val="00D83AE4"/>
    <w:rsid w:val="00DA1638"/>
    <w:rsid w:val="00DB16BD"/>
    <w:rsid w:val="00DB2276"/>
    <w:rsid w:val="00DC2515"/>
    <w:rsid w:val="00DD1452"/>
    <w:rsid w:val="00DE3AA5"/>
    <w:rsid w:val="00DE6AA7"/>
    <w:rsid w:val="00DF5AD5"/>
    <w:rsid w:val="00E17BD2"/>
    <w:rsid w:val="00E26B0D"/>
    <w:rsid w:val="00E658CB"/>
    <w:rsid w:val="00E67F25"/>
    <w:rsid w:val="00E80CE7"/>
    <w:rsid w:val="00EA1479"/>
    <w:rsid w:val="00EA79A1"/>
    <w:rsid w:val="00EB2B36"/>
    <w:rsid w:val="00EC4F0C"/>
    <w:rsid w:val="00EE4162"/>
    <w:rsid w:val="00EF2EF1"/>
    <w:rsid w:val="00EF7C05"/>
    <w:rsid w:val="00F10FDB"/>
    <w:rsid w:val="00F11340"/>
    <w:rsid w:val="00F13DD9"/>
    <w:rsid w:val="00F24731"/>
    <w:rsid w:val="00F25A6A"/>
    <w:rsid w:val="00F60575"/>
    <w:rsid w:val="00F62385"/>
    <w:rsid w:val="00F7210B"/>
    <w:rsid w:val="00F7698C"/>
    <w:rsid w:val="00F82B92"/>
    <w:rsid w:val="00FA0512"/>
    <w:rsid w:val="00FA1009"/>
    <w:rsid w:val="00FB0493"/>
    <w:rsid w:val="00FC2921"/>
    <w:rsid w:val="00FD225E"/>
    <w:rsid w:val="00FD4E8A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2EC5B"/>
  <w15:docId w15:val="{3E0748E3-B925-4F77-9163-0B79A71D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A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A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A75F0"/>
  </w:style>
  <w:style w:type="paragraph" w:styleId="Sprechblasentext">
    <w:name w:val="Balloon Text"/>
    <w:basedOn w:val="Standard"/>
    <w:link w:val="SprechblasentextZchn"/>
    <w:rsid w:val="004425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4250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nhideWhenUsed/>
    <w:rsid w:val="00F24731"/>
    <w:pPr>
      <w:spacing w:before="480"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F2473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Inhaltsadressat eines Umsatzsteuerbescheids einer GmbH in Liquidation ist die GmbH</vt:lpstr>
    </vt:vector>
  </TitlesOfParts>
  <Company>NWBVERLAG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Inhaltsadressat eines Umsatzsteuerbescheids einer GmbH in Liquidation ist die GmbH</dc:title>
  <dc:creator>1</dc:creator>
  <cp:lastModifiedBy>Petter</cp:lastModifiedBy>
  <cp:revision>2</cp:revision>
  <cp:lastPrinted>2020-12-16T18:28:00Z</cp:lastPrinted>
  <dcterms:created xsi:type="dcterms:W3CDTF">2021-03-07T12:30:00Z</dcterms:created>
  <dcterms:modified xsi:type="dcterms:W3CDTF">2021-03-07T12:30:00Z</dcterms:modified>
</cp:coreProperties>
</file>